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FB25" w14:textId="77777777" w:rsidR="006D38E9" w:rsidRDefault="006D38E9" w:rsidP="006D38E9"/>
    <w:p w14:paraId="5318D1EB" w14:textId="3E10DAF0" w:rsidR="006D38E9" w:rsidRPr="00044F86" w:rsidRDefault="006D38E9" w:rsidP="006D38E9">
      <w:pPr>
        <w:rPr>
          <w:rFonts w:ascii="Calibri" w:hAnsi="Calibri"/>
          <w:b/>
          <w:sz w:val="24"/>
        </w:rPr>
      </w:pPr>
      <w:r w:rsidRPr="00044F86">
        <w:rPr>
          <w:rFonts w:ascii="Calibri" w:hAnsi="Calibri"/>
          <w:b/>
          <w:sz w:val="24"/>
        </w:rPr>
        <w:t>Which is better: Splinting the MCP or PIP joint when managing Trigger Finger?</w:t>
      </w:r>
    </w:p>
    <w:p w14:paraId="383A1EFC" w14:textId="34D721A7" w:rsidR="006D38E9" w:rsidRPr="00044F86" w:rsidRDefault="006D38E9" w:rsidP="006D38E9">
      <w:pPr>
        <w:rPr>
          <w:rFonts w:ascii="Calibri" w:hAnsi="Calibri"/>
          <w:b/>
          <w:sz w:val="24"/>
        </w:rPr>
      </w:pPr>
      <w:r w:rsidRPr="00044F86">
        <w:rPr>
          <w:rFonts w:ascii="Calibri" w:hAnsi="Calibri"/>
          <w:b/>
          <w:sz w:val="24"/>
        </w:rPr>
        <w:t xml:space="preserve">Teo, S. H., Ng D. C., Wong, </w:t>
      </w:r>
      <w:proofErr w:type="gramStart"/>
      <w:r w:rsidRPr="00044F86">
        <w:rPr>
          <w:rFonts w:ascii="Calibri" w:hAnsi="Calibri"/>
          <w:b/>
          <w:sz w:val="24"/>
        </w:rPr>
        <w:t>Y.K.(</w:t>
      </w:r>
      <w:proofErr w:type="gramEnd"/>
      <w:r w:rsidRPr="00044F86">
        <w:rPr>
          <w:rFonts w:ascii="Calibri" w:hAnsi="Calibri"/>
          <w:b/>
          <w:sz w:val="24"/>
        </w:rPr>
        <w:t xml:space="preserve">2018).  Effectiveness of proximal interphalangeal joint blocking orthosis vs metacarpophalangeal joint blocking orthosis in trigger digit: A randomized clinical trial. Journal of Hand Therapy, 1-7. </w:t>
      </w:r>
    </w:p>
    <w:p w14:paraId="3C32E5F9" w14:textId="6121A061" w:rsidR="006D38E9" w:rsidRDefault="006D38E9" w:rsidP="006D38E9">
      <w:pPr>
        <w:rPr>
          <w:rFonts w:ascii="Calibri" w:hAnsi="Calibri"/>
          <w:sz w:val="24"/>
        </w:rPr>
      </w:pPr>
      <w:r w:rsidRPr="00044F86">
        <w:rPr>
          <w:rFonts w:ascii="Calibri" w:hAnsi="Calibri"/>
          <w:b/>
          <w:sz w:val="24"/>
        </w:rPr>
        <w:t xml:space="preserve">The Skinny- </w:t>
      </w:r>
      <w:r w:rsidR="00044F86" w:rsidRPr="00044F86">
        <w:rPr>
          <w:rFonts w:ascii="Calibri" w:hAnsi="Calibri"/>
          <w:sz w:val="24"/>
        </w:rPr>
        <w:t xml:space="preserve">This study compared </w:t>
      </w:r>
      <w:r w:rsidR="00DF1E8C">
        <w:rPr>
          <w:rFonts w:ascii="Calibri" w:hAnsi="Calibri"/>
          <w:sz w:val="24"/>
        </w:rPr>
        <w:t>PIP</w:t>
      </w:r>
      <w:r w:rsidR="00044F86" w:rsidRPr="00044F86">
        <w:rPr>
          <w:rFonts w:ascii="Calibri" w:hAnsi="Calibri"/>
          <w:sz w:val="24"/>
        </w:rPr>
        <w:t xml:space="preserve"> joint immobilization via an </w:t>
      </w:r>
      <w:r w:rsidR="00DF1E8C">
        <w:rPr>
          <w:rFonts w:ascii="Calibri" w:hAnsi="Calibri"/>
          <w:sz w:val="24"/>
        </w:rPr>
        <w:t>Oval-8</w:t>
      </w:r>
      <w:r w:rsidR="00DF1E8C" w:rsidRPr="00DF1E8C">
        <w:rPr>
          <w:rFonts w:ascii="supra" w:hAnsi="supra"/>
          <w:sz w:val="24"/>
          <w:vertAlign w:val="superscript"/>
        </w:rPr>
        <w:t>TM</w:t>
      </w:r>
      <w:r w:rsidR="00044F86" w:rsidRPr="00044F86">
        <w:rPr>
          <w:rFonts w:ascii="Calibri" w:hAnsi="Calibri"/>
          <w:sz w:val="24"/>
        </w:rPr>
        <w:t xml:space="preserve"> with a custom </w:t>
      </w:r>
      <w:r w:rsidR="0068123B">
        <w:rPr>
          <w:rFonts w:ascii="Calibri" w:hAnsi="Calibri"/>
          <w:sz w:val="24"/>
        </w:rPr>
        <w:t xml:space="preserve">MCP </w:t>
      </w:r>
      <w:r w:rsidR="00044F86" w:rsidRPr="00044F86">
        <w:rPr>
          <w:rFonts w:ascii="Calibri" w:hAnsi="Calibri"/>
          <w:sz w:val="24"/>
        </w:rPr>
        <w:t xml:space="preserve">blocking orthosis in the treatment of trigger finger.  </w:t>
      </w:r>
    </w:p>
    <w:p w14:paraId="71C10C40" w14:textId="0D0FF741" w:rsidR="0068123B" w:rsidRPr="00044F86" w:rsidRDefault="0068123B" w:rsidP="006D38E9">
      <w:pPr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13FB1F9E" wp14:editId="245A9625">
            <wp:extent cx="1409277" cy="102554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09" cy="104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</w:rPr>
        <w:drawing>
          <wp:inline distT="0" distB="0" distL="0" distR="0" wp14:anchorId="1ADF76D4" wp14:editId="10A0A3A2">
            <wp:extent cx="1294657" cy="985127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88" cy="100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E8C">
        <w:rPr>
          <w:noProof/>
        </w:rPr>
        <w:drawing>
          <wp:inline distT="0" distB="0" distL="0" distR="0" wp14:anchorId="2DB27040" wp14:editId="44873892">
            <wp:extent cx="1268433" cy="964919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7" cy="98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E8C">
        <w:rPr>
          <w:noProof/>
        </w:rPr>
        <w:drawing>
          <wp:inline distT="0" distB="0" distL="0" distR="0" wp14:anchorId="70F9C723" wp14:editId="4C36CC43">
            <wp:extent cx="1409490" cy="102840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53" cy="10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27C7" w14:textId="405424AC" w:rsidR="00044F86" w:rsidRPr="00044F86" w:rsidRDefault="00044F86" w:rsidP="00044F86">
      <w:pPr>
        <w:rPr>
          <w:rFonts w:ascii="Calibri" w:hAnsi="Calibri"/>
          <w:sz w:val="24"/>
        </w:rPr>
      </w:pPr>
      <w:r w:rsidRPr="00044F86">
        <w:rPr>
          <w:rFonts w:ascii="Calibri" w:hAnsi="Calibri"/>
          <w:b/>
          <w:sz w:val="24"/>
        </w:rPr>
        <w:t>In the Weeds</w:t>
      </w:r>
      <w:r w:rsidRPr="00044F86">
        <w:rPr>
          <w:rFonts w:ascii="Calibri" w:hAnsi="Calibri"/>
          <w:sz w:val="24"/>
        </w:rPr>
        <w:t xml:space="preserve"> – Patient (n</w:t>
      </w:r>
      <w:r w:rsidR="0068123B">
        <w:rPr>
          <w:rFonts w:ascii="Calibri" w:hAnsi="Calibri"/>
          <w:sz w:val="24"/>
        </w:rPr>
        <w:t>=</w:t>
      </w:r>
      <w:r w:rsidRPr="00044F86">
        <w:rPr>
          <w:rFonts w:ascii="Calibri" w:hAnsi="Calibri"/>
          <w:sz w:val="24"/>
        </w:rPr>
        <w:t>35) with Trigger Finger (n</w:t>
      </w:r>
      <w:r w:rsidR="0068123B">
        <w:rPr>
          <w:rFonts w:ascii="Calibri" w:hAnsi="Calibri"/>
          <w:sz w:val="24"/>
        </w:rPr>
        <w:t>=</w:t>
      </w:r>
      <w:r w:rsidRPr="00044F86">
        <w:rPr>
          <w:rFonts w:ascii="Calibri" w:hAnsi="Calibri"/>
          <w:sz w:val="24"/>
        </w:rPr>
        <w:t xml:space="preserve">43) were analyzed.  </w:t>
      </w:r>
      <w:r w:rsidR="0068123B" w:rsidRPr="00044F86">
        <w:rPr>
          <w:rFonts w:ascii="Calibri" w:hAnsi="Calibri"/>
          <w:sz w:val="24"/>
        </w:rPr>
        <w:t>Twenty-three</w:t>
      </w:r>
      <w:r w:rsidRPr="00044F86">
        <w:rPr>
          <w:rFonts w:ascii="Calibri" w:hAnsi="Calibri"/>
          <w:sz w:val="24"/>
        </w:rPr>
        <w:t xml:space="preserve"> patients were allocated to the </w:t>
      </w:r>
      <w:r w:rsidR="00DF1E8C">
        <w:rPr>
          <w:rFonts w:ascii="Calibri" w:hAnsi="Calibri"/>
          <w:sz w:val="24"/>
        </w:rPr>
        <w:t>PIP</w:t>
      </w:r>
      <w:r w:rsidRPr="00044F86">
        <w:rPr>
          <w:rFonts w:ascii="Calibri" w:hAnsi="Calibri"/>
          <w:sz w:val="24"/>
        </w:rPr>
        <w:t xml:space="preserve"> joint </w:t>
      </w:r>
      <w:r w:rsidR="00DF1E8C">
        <w:rPr>
          <w:rFonts w:ascii="Calibri" w:hAnsi="Calibri"/>
          <w:sz w:val="24"/>
        </w:rPr>
        <w:t>spl</w:t>
      </w:r>
      <w:r w:rsidRPr="00044F86">
        <w:rPr>
          <w:rFonts w:ascii="Calibri" w:hAnsi="Calibri"/>
          <w:sz w:val="24"/>
        </w:rPr>
        <w:t xml:space="preserve">inting group and 20 patients were in the </w:t>
      </w:r>
      <w:r w:rsidR="00DF1E8C">
        <w:rPr>
          <w:rFonts w:ascii="Calibri" w:hAnsi="Calibri"/>
          <w:sz w:val="24"/>
        </w:rPr>
        <w:t>MCP</w:t>
      </w:r>
      <w:r w:rsidRPr="00044F86">
        <w:rPr>
          <w:rFonts w:ascii="Calibri" w:hAnsi="Calibri"/>
          <w:sz w:val="24"/>
        </w:rPr>
        <w:t xml:space="preserve"> splinting group. </w:t>
      </w:r>
      <w:r w:rsidR="005E7C5D">
        <w:rPr>
          <w:rFonts w:ascii="Calibri" w:hAnsi="Calibri"/>
          <w:sz w:val="24"/>
        </w:rPr>
        <w:t xml:space="preserve"> Patients wore the orthosis for eight weeks.  </w:t>
      </w:r>
      <w:r w:rsidRPr="00044F86">
        <w:rPr>
          <w:rFonts w:ascii="Calibri" w:hAnsi="Calibri"/>
          <w:sz w:val="24"/>
        </w:rPr>
        <w:t xml:space="preserve"> </w:t>
      </w:r>
    </w:p>
    <w:p w14:paraId="59218250" w14:textId="3796241A" w:rsidR="00044F86" w:rsidRPr="00044F86" w:rsidRDefault="00044F86" w:rsidP="00044F86">
      <w:pPr>
        <w:rPr>
          <w:rFonts w:ascii="Calibri" w:hAnsi="Calibri"/>
          <w:sz w:val="24"/>
        </w:rPr>
      </w:pPr>
      <w:r w:rsidRPr="00044F86">
        <w:rPr>
          <w:rFonts w:ascii="Calibri" w:hAnsi="Calibri"/>
          <w:sz w:val="24"/>
        </w:rPr>
        <w:t xml:space="preserve">Pain reduction was observed in both groups, but pain reduction was greater with </w:t>
      </w:r>
      <w:r w:rsidR="00DF1E8C">
        <w:rPr>
          <w:rFonts w:ascii="Calibri" w:hAnsi="Calibri"/>
          <w:sz w:val="24"/>
        </w:rPr>
        <w:t>PIP</w:t>
      </w:r>
      <w:r w:rsidRPr="00044F86">
        <w:rPr>
          <w:rFonts w:ascii="Calibri" w:hAnsi="Calibri"/>
          <w:sz w:val="24"/>
        </w:rPr>
        <w:t xml:space="preserve"> joint splinting compared to the MCP joint splinting group. There was only significant improvement in </w:t>
      </w:r>
      <w:proofErr w:type="spellStart"/>
      <w:r w:rsidRPr="00044F86">
        <w:rPr>
          <w:rFonts w:ascii="Calibri" w:hAnsi="Calibri"/>
          <w:sz w:val="24"/>
        </w:rPr>
        <w:t>Quick</w:t>
      </w:r>
      <w:r w:rsidR="00DF1E8C">
        <w:rPr>
          <w:rFonts w:ascii="Calibri" w:hAnsi="Calibri"/>
          <w:sz w:val="24"/>
        </w:rPr>
        <w:t>DASH</w:t>
      </w:r>
      <w:proofErr w:type="spellEnd"/>
      <w:r w:rsidR="00DF1E8C">
        <w:rPr>
          <w:rFonts w:ascii="Calibri" w:hAnsi="Calibri"/>
          <w:sz w:val="24"/>
        </w:rPr>
        <w:t xml:space="preserve"> for the </w:t>
      </w:r>
      <w:r w:rsidRPr="00044F86">
        <w:rPr>
          <w:rFonts w:ascii="Calibri" w:hAnsi="Calibri"/>
          <w:sz w:val="24"/>
        </w:rPr>
        <w:t>PIP splinting Group.  Patient</w:t>
      </w:r>
      <w:r w:rsidR="00DF1E8C">
        <w:rPr>
          <w:rFonts w:ascii="Calibri" w:hAnsi="Calibri"/>
          <w:sz w:val="24"/>
        </w:rPr>
        <w:t>s</w:t>
      </w:r>
      <w:r w:rsidRPr="00044F86">
        <w:rPr>
          <w:rFonts w:ascii="Calibri" w:hAnsi="Calibri"/>
          <w:sz w:val="24"/>
        </w:rPr>
        <w:t xml:space="preserve"> wore the pip joint splint significantly longer</w:t>
      </w:r>
      <w:r w:rsidR="005E7C5D">
        <w:rPr>
          <w:rFonts w:ascii="Calibri" w:hAnsi="Calibri"/>
          <w:sz w:val="24"/>
        </w:rPr>
        <w:t xml:space="preserve"> during the day compared to the MCP splinting group</w:t>
      </w:r>
      <w:r w:rsidRPr="00044F86">
        <w:rPr>
          <w:rFonts w:ascii="Calibri" w:hAnsi="Calibri"/>
          <w:sz w:val="24"/>
        </w:rPr>
        <w:t>, most likely due to improved comfort</w:t>
      </w:r>
      <w:r w:rsidR="005E7C5D">
        <w:rPr>
          <w:rFonts w:ascii="Calibri" w:hAnsi="Calibri"/>
          <w:sz w:val="24"/>
        </w:rPr>
        <w:t xml:space="preserve">.  </w:t>
      </w:r>
    </w:p>
    <w:p w14:paraId="277240DE" w14:textId="4A0013C4" w:rsidR="00044F86" w:rsidRDefault="00044F86" w:rsidP="00044F86">
      <w:pPr>
        <w:rPr>
          <w:rFonts w:ascii="Calibri" w:hAnsi="Calibri"/>
          <w:sz w:val="24"/>
        </w:rPr>
      </w:pPr>
      <w:r w:rsidRPr="00044F86">
        <w:rPr>
          <w:rFonts w:ascii="Calibri" w:hAnsi="Calibri"/>
          <w:b/>
          <w:sz w:val="24"/>
        </w:rPr>
        <w:t>Bringing it Home</w:t>
      </w:r>
      <w:r>
        <w:rPr>
          <w:rFonts w:ascii="Calibri" w:hAnsi="Calibri"/>
          <w:b/>
          <w:sz w:val="24"/>
        </w:rPr>
        <w:t xml:space="preserve">- </w:t>
      </w:r>
      <w:r>
        <w:rPr>
          <w:rFonts w:ascii="Calibri" w:hAnsi="Calibri"/>
          <w:sz w:val="24"/>
        </w:rPr>
        <w:t>Finding</w:t>
      </w:r>
      <w:r w:rsidR="00DF1E8C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suggests both orthoses are effective </w:t>
      </w:r>
      <w:r w:rsidR="00DF1E8C">
        <w:rPr>
          <w:rFonts w:ascii="Calibri" w:hAnsi="Calibri"/>
          <w:sz w:val="24"/>
        </w:rPr>
        <w:t xml:space="preserve">in </w:t>
      </w:r>
      <w:r>
        <w:rPr>
          <w:rFonts w:ascii="Calibri" w:hAnsi="Calibri"/>
          <w:sz w:val="24"/>
        </w:rPr>
        <w:t xml:space="preserve">reducing </w:t>
      </w:r>
      <w:proofErr w:type="spellStart"/>
      <w:r w:rsidR="00DF1E8C">
        <w:rPr>
          <w:rFonts w:ascii="Calibri" w:hAnsi="Calibri"/>
          <w:sz w:val="24"/>
        </w:rPr>
        <w:t>Q</w:t>
      </w:r>
      <w:r>
        <w:rPr>
          <w:rFonts w:ascii="Calibri" w:hAnsi="Calibri"/>
          <w:sz w:val="24"/>
        </w:rPr>
        <w:t>uick</w:t>
      </w:r>
      <w:r w:rsidR="00DF1E8C">
        <w:rPr>
          <w:rFonts w:ascii="Calibri" w:hAnsi="Calibri"/>
          <w:sz w:val="24"/>
        </w:rPr>
        <w:t>DASH</w:t>
      </w:r>
      <w:proofErr w:type="spellEnd"/>
      <w:r>
        <w:rPr>
          <w:rFonts w:ascii="Calibri" w:hAnsi="Calibri"/>
          <w:sz w:val="24"/>
        </w:rPr>
        <w:t xml:space="preserve"> score</w:t>
      </w:r>
      <w:r w:rsidR="00DF1E8C">
        <w:rPr>
          <w:rFonts w:ascii="Calibri" w:hAnsi="Calibri"/>
          <w:sz w:val="24"/>
        </w:rPr>
        <w:t xml:space="preserve">s, reducing </w:t>
      </w:r>
      <w:r>
        <w:rPr>
          <w:rFonts w:ascii="Calibri" w:hAnsi="Calibri"/>
          <w:sz w:val="24"/>
        </w:rPr>
        <w:t>pain and improv</w:t>
      </w:r>
      <w:r w:rsidR="00DF1E8C">
        <w:rPr>
          <w:rFonts w:ascii="Calibri" w:hAnsi="Calibri"/>
          <w:sz w:val="24"/>
        </w:rPr>
        <w:t>ing</w:t>
      </w:r>
      <w:r>
        <w:rPr>
          <w:rFonts w:ascii="Calibri" w:hAnsi="Calibri"/>
          <w:sz w:val="24"/>
        </w:rPr>
        <w:t xml:space="preserve"> overall trigger finger symptoms based on Green’s </w:t>
      </w:r>
      <w:r w:rsidR="00DF1E8C">
        <w:rPr>
          <w:rFonts w:ascii="Calibri" w:hAnsi="Calibri"/>
          <w:sz w:val="24"/>
        </w:rPr>
        <w:t>Classification</w:t>
      </w:r>
      <w:r>
        <w:rPr>
          <w:rFonts w:ascii="Calibri" w:hAnsi="Calibri"/>
          <w:sz w:val="24"/>
        </w:rPr>
        <w:t>.  However</w:t>
      </w:r>
      <w:r w:rsidR="00DF1E8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the pip joint immobilization splint </w:t>
      </w:r>
      <w:r w:rsidR="00DF1E8C">
        <w:rPr>
          <w:rFonts w:ascii="Calibri" w:hAnsi="Calibri"/>
          <w:sz w:val="24"/>
        </w:rPr>
        <w:t>was better</w:t>
      </w:r>
      <w:r>
        <w:rPr>
          <w:rFonts w:ascii="Calibri" w:hAnsi="Calibri"/>
          <w:sz w:val="24"/>
        </w:rPr>
        <w:t xml:space="preserve"> for improved function and improved compliance.  </w:t>
      </w:r>
    </w:p>
    <w:p w14:paraId="5119A8DB" w14:textId="1110F1E0" w:rsidR="00044F86" w:rsidRPr="00195D9F" w:rsidRDefault="00044F86" w:rsidP="00044F86">
      <w:pPr>
        <w:rPr>
          <w:rFonts w:ascii="Calibri" w:hAnsi="Calibri"/>
          <w:sz w:val="24"/>
        </w:rPr>
      </w:pPr>
      <w:r w:rsidRPr="00044F86">
        <w:rPr>
          <w:rFonts w:ascii="Calibri" w:hAnsi="Calibri"/>
          <w:b/>
          <w:sz w:val="24"/>
        </w:rPr>
        <w:t>Rating</w:t>
      </w:r>
      <w:r>
        <w:rPr>
          <w:rFonts w:ascii="Calibri" w:hAnsi="Calibri"/>
          <w:sz w:val="24"/>
        </w:rPr>
        <w:t xml:space="preserve"> </w:t>
      </w:r>
      <w:r w:rsidRPr="006D38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(0-5 </w:t>
      </w:r>
      <w:r w:rsidRPr="006D38E9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50CDFDFD" wp14:editId="0995AB67">
            <wp:extent cx="225425" cy="225425"/>
            <wp:effectExtent l="0" t="0" r="3175" b="3175"/>
            <wp:docPr id="5" name="Picture 5" descr="https://lh4.googleusercontent.com/9wcPGSZvYlW7GKWDkuLF1Sr5UVI8TiOHwaE-p2ZnaVQKzNfx_6so4sntSzaj9MxHJ-uGDXitbxEUR5CXwVmNzp9KSlJU7KxrRGf3qcXmKhNsbI5R8yGhNTOK4_Uy-vEZ2zc8-4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wcPGSZvYlW7GKWDkuLF1Sr5UVI8TiOHwaE-p2ZnaVQKzNfx_6so4sntSzaj9MxHJ-uGDXitbxEUR5CXwVmNzp9KSlJU7KxrRGf3qcXmKhNsbI5R8yGhNTOK4_Uy-vEZ2zc8-4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8E9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6D38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- </w:t>
      </w:r>
      <w:r w:rsidRPr="006D38E9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4DDD55C0" wp14:editId="3F2F7D98">
            <wp:extent cx="225425" cy="225425"/>
            <wp:effectExtent l="0" t="0" r="3175" b="3175"/>
            <wp:docPr id="6" name="Picture 6" descr="https://lh4.googleusercontent.com/9wcPGSZvYlW7GKWDkuLF1Sr5UVI8TiOHwaE-p2ZnaVQKzNfx_6so4sntSzaj9MxHJ-uGDXitbxEUR5CXwVmNzp9KSlJU7KxrRGf3qcXmKhNsbI5R8yGhNTOK4_Uy-vEZ2zc8-4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9wcPGSZvYlW7GKWDkuLF1Sr5UVI8TiOHwaE-p2ZnaVQKzNfx_6so4sntSzaj9MxHJ-uGDXitbxEUR5CXwVmNzp9KSlJU7KxrRGf3qcXmKhNsbI5R8yGhNTOK4_Uy-vEZ2zc8-4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8E9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1BF1F7B4" wp14:editId="2CB872CF">
            <wp:extent cx="225425" cy="225425"/>
            <wp:effectExtent l="0" t="0" r="3175" b="3175"/>
            <wp:docPr id="7" name="Picture 7" descr="https://lh4.googleusercontent.com/9wcPGSZvYlW7GKWDkuLF1Sr5UVI8TiOHwaE-p2ZnaVQKzNfx_6so4sntSzaj9MxHJ-uGDXitbxEUR5CXwVmNzp9KSlJU7KxrRGf3qcXmKhNsbI5R8yGhNTOK4_Uy-vEZ2zc8-4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9wcPGSZvYlW7GKWDkuLF1Sr5UVI8TiOHwaE-p2ZnaVQKzNfx_6so4sntSzaj9MxHJ-uGDXitbxEUR5CXwVmNzp9KSlJU7KxrRGf3qcXmKhNsbI5R8yGhNTOK4_Uy-vEZ2zc8-4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8E9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8D35579" wp14:editId="2E82C33F">
            <wp:extent cx="225425" cy="237490"/>
            <wp:effectExtent l="0" t="0" r="3175" b="0"/>
            <wp:docPr id="9" name="Picture 9" descr="https://lh4.googleusercontent.com/9wcPGSZvYlW7GKWDkuLF1Sr5UVI8TiOHwaE-p2ZnaVQKzNfx_6so4sntSzaj9MxHJ-uGDXitbxEUR5CXwVmNzp9KSlJU7KxrRGf3qcXmKhNsbI5R8yGhNTOK4_Uy-vEZ2zc8-4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9wcPGSZvYlW7GKWDkuLF1Sr5UVI8TiOHwaE-p2ZnaVQKzNfx_6so4sntSzaj9MxHJ-uGDXitbxEUR5CXwVmNzp9KSlJU7KxrRGf3qcXmKhNsbI5R8yGhNTOK4_Uy-vEZ2zc8-4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D9F">
        <w:rPr>
          <w:rFonts w:ascii="Calibri" w:eastAsia="Times New Roman" w:hAnsi="Calibri" w:cs="Calibri"/>
          <w:bCs/>
          <w:color w:val="000000"/>
          <w:sz w:val="28"/>
          <w:szCs w:val="28"/>
        </w:rPr>
        <w:t>Small sample size. All patients with co</w:t>
      </w:r>
      <w:r w:rsidR="00DF1E8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morbidities </w:t>
      </w:r>
      <w:r w:rsidR="00195D9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were excluded limiting the generalizability of finding.  Immobilizing the </w:t>
      </w:r>
      <w:r w:rsidR="005E7C5D">
        <w:rPr>
          <w:rFonts w:ascii="Calibri" w:eastAsia="Times New Roman" w:hAnsi="Calibri" w:cs="Calibri"/>
          <w:bCs/>
          <w:color w:val="000000"/>
          <w:sz w:val="28"/>
          <w:szCs w:val="28"/>
        </w:rPr>
        <w:t>PIP j</w:t>
      </w:r>
      <w:r w:rsidR="00195D9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oint compared to the MCP allows </w:t>
      </w:r>
      <w:r w:rsidR="005E7C5D">
        <w:rPr>
          <w:rFonts w:ascii="Calibri" w:eastAsia="Times New Roman" w:hAnsi="Calibri" w:cs="Calibri"/>
          <w:bCs/>
          <w:color w:val="000000"/>
          <w:sz w:val="28"/>
          <w:szCs w:val="28"/>
        </w:rPr>
        <w:t>mo</w:t>
      </w:r>
      <w:bookmarkStart w:id="0" w:name="_GoBack"/>
      <w:bookmarkEnd w:id="0"/>
      <w:r w:rsidR="005E7C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re </w:t>
      </w:r>
      <w:r w:rsidR="00195D9F">
        <w:rPr>
          <w:rFonts w:ascii="Calibri" w:eastAsia="Times New Roman" w:hAnsi="Calibri" w:cs="Calibri"/>
          <w:bCs/>
          <w:color w:val="000000"/>
          <w:sz w:val="28"/>
          <w:szCs w:val="28"/>
        </w:rPr>
        <w:t>function</w:t>
      </w:r>
      <w:r w:rsidR="005E7C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and improved compliance.</w:t>
      </w:r>
      <w:r w:rsidR="00195D9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 When immobilizing the </w:t>
      </w:r>
      <w:r w:rsidR="00DF1E8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MCP </w:t>
      </w:r>
      <w:r w:rsidR="00195D9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you limit intrinsic grasp which is a necessity for function. </w:t>
      </w:r>
      <w:r w:rsidR="005E7C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The authors recommend wearing the orthosis for weeks duration for 24 hours in order to reduce triggering symptoms.  </w:t>
      </w:r>
    </w:p>
    <w:p w14:paraId="0D1871BD" w14:textId="61E28CBB" w:rsidR="00044F86" w:rsidRDefault="00044F86" w:rsidP="00044F86"/>
    <w:p w14:paraId="54364361" w14:textId="521BD5E5" w:rsidR="00AF57B2" w:rsidRDefault="00AF57B2" w:rsidP="006D38E9"/>
    <w:sectPr w:rsidR="00AF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p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C15"/>
    <w:multiLevelType w:val="multilevel"/>
    <w:tmpl w:val="9B2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A6842"/>
    <w:multiLevelType w:val="multilevel"/>
    <w:tmpl w:val="EF7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A"/>
    <w:rsid w:val="00044F86"/>
    <w:rsid w:val="0015077E"/>
    <w:rsid w:val="00195D9F"/>
    <w:rsid w:val="005E7C5D"/>
    <w:rsid w:val="0068123B"/>
    <w:rsid w:val="006D38E9"/>
    <w:rsid w:val="00AF57B2"/>
    <w:rsid w:val="00D143C3"/>
    <w:rsid w:val="00DF1E8C"/>
    <w:rsid w:val="00F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9780"/>
  <w15:chartTrackingRefBased/>
  <w15:docId w15:val="{35FF1DFD-51B3-4D0A-B169-8C49CE0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extratherapy</dc:creator>
  <cp:keywords/>
  <dc:description/>
  <cp:lastModifiedBy>extratherapy</cp:lastModifiedBy>
  <cp:revision>5</cp:revision>
  <dcterms:created xsi:type="dcterms:W3CDTF">2019-04-24T18:07:00Z</dcterms:created>
  <dcterms:modified xsi:type="dcterms:W3CDTF">2019-05-29T22:49:00Z</dcterms:modified>
</cp:coreProperties>
</file>